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E9D14" w14:textId="77777777" w:rsidR="005F7EEE" w:rsidRPr="005D1ACB" w:rsidRDefault="004A3478" w:rsidP="004A3478">
      <w:pPr>
        <w:rPr>
          <w:rFonts w:ascii="Arial" w:hAnsi="Arial" w:cs="Arial"/>
          <w:b/>
          <w:sz w:val="28"/>
          <w:szCs w:val="28"/>
        </w:rPr>
      </w:pPr>
      <w:r w:rsidRPr="005D1ACB">
        <w:rPr>
          <w:rFonts w:ascii="Arial" w:hAnsi="Arial" w:cs="Arial"/>
          <w:b/>
          <w:sz w:val="28"/>
          <w:szCs w:val="28"/>
        </w:rPr>
        <w:t>NORTH WEST REGIONAL COLLEGE</w:t>
      </w:r>
    </w:p>
    <w:p w14:paraId="357CFD88" w14:textId="77777777" w:rsidR="004A3478" w:rsidRPr="005D1ACB" w:rsidRDefault="004A3478" w:rsidP="004A3478">
      <w:pPr>
        <w:rPr>
          <w:rFonts w:ascii="Arial" w:hAnsi="Arial" w:cs="Arial"/>
          <w:b/>
          <w:sz w:val="28"/>
          <w:szCs w:val="28"/>
        </w:rPr>
      </w:pPr>
      <w:r w:rsidRPr="005D1ACB">
        <w:rPr>
          <w:rFonts w:ascii="Arial" w:hAnsi="Arial" w:cs="Arial"/>
          <w:b/>
          <w:sz w:val="28"/>
          <w:szCs w:val="28"/>
        </w:rPr>
        <w:t xml:space="preserve">EQUALITY SCREENING REPORT </w:t>
      </w:r>
    </w:p>
    <w:p w14:paraId="17170826" w14:textId="0AC2E824" w:rsidR="004A3478" w:rsidRDefault="004A3478" w:rsidP="004A3478">
      <w:pPr>
        <w:rPr>
          <w:rFonts w:ascii="Arial" w:hAnsi="Arial" w:cs="Arial"/>
          <w:b/>
          <w:sz w:val="28"/>
          <w:szCs w:val="28"/>
        </w:rPr>
      </w:pPr>
      <w:r w:rsidRPr="005D1ACB">
        <w:rPr>
          <w:rFonts w:ascii="Arial" w:hAnsi="Arial" w:cs="Arial"/>
          <w:b/>
          <w:sz w:val="28"/>
          <w:szCs w:val="28"/>
        </w:rPr>
        <w:t xml:space="preserve">POLICIES SCREENED IN QUARTER </w:t>
      </w:r>
      <w:r w:rsidR="001F112A">
        <w:rPr>
          <w:rFonts w:ascii="Arial" w:hAnsi="Arial" w:cs="Arial"/>
          <w:b/>
          <w:sz w:val="28"/>
          <w:szCs w:val="28"/>
        </w:rPr>
        <w:t>3</w:t>
      </w:r>
      <w:r w:rsidR="00CD04FE" w:rsidRPr="005D1ACB">
        <w:rPr>
          <w:rFonts w:ascii="Arial" w:hAnsi="Arial" w:cs="Arial"/>
          <w:b/>
          <w:sz w:val="28"/>
          <w:szCs w:val="28"/>
        </w:rPr>
        <w:t xml:space="preserve"> </w:t>
      </w:r>
      <w:r w:rsidRPr="005D1ACB">
        <w:rPr>
          <w:rFonts w:ascii="Arial" w:hAnsi="Arial" w:cs="Arial"/>
          <w:b/>
          <w:sz w:val="28"/>
          <w:szCs w:val="28"/>
        </w:rPr>
        <w:t>(</w:t>
      </w:r>
      <w:r w:rsidR="001F112A">
        <w:rPr>
          <w:rFonts w:ascii="Arial" w:hAnsi="Arial" w:cs="Arial"/>
          <w:b/>
          <w:sz w:val="28"/>
          <w:szCs w:val="28"/>
        </w:rPr>
        <w:t>October</w:t>
      </w:r>
      <w:r w:rsidR="000A75E9">
        <w:rPr>
          <w:rFonts w:ascii="Arial" w:hAnsi="Arial" w:cs="Arial"/>
          <w:b/>
          <w:sz w:val="28"/>
          <w:szCs w:val="28"/>
        </w:rPr>
        <w:t xml:space="preserve"> 2022 to</w:t>
      </w:r>
      <w:r w:rsidR="00F60C72">
        <w:rPr>
          <w:rFonts w:ascii="Arial" w:hAnsi="Arial" w:cs="Arial"/>
          <w:b/>
          <w:sz w:val="28"/>
          <w:szCs w:val="28"/>
        </w:rPr>
        <w:t xml:space="preserve"> </w:t>
      </w:r>
      <w:r w:rsidR="001F112A">
        <w:rPr>
          <w:rFonts w:ascii="Arial" w:hAnsi="Arial" w:cs="Arial"/>
          <w:b/>
          <w:sz w:val="28"/>
          <w:szCs w:val="28"/>
        </w:rPr>
        <w:t>December</w:t>
      </w:r>
      <w:r w:rsidR="000A75E9">
        <w:rPr>
          <w:rFonts w:ascii="Arial" w:hAnsi="Arial" w:cs="Arial"/>
          <w:b/>
          <w:sz w:val="28"/>
          <w:szCs w:val="28"/>
        </w:rPr>
        <w:t xml:space="preserve"> 2022</w:t>
      </w:r>
      <w:r w:rsidR="00CD04FE" w:rsidRPr="005D1ACB">
        <w:rPr>
          <w:rFonts w:ascii="Arial" w:hAnsi="Arial" w:cs="Arial"/>
          <w:b/>
          <w:sz w:val="28"/>
          <w:szCs w:val="28"/>
        </w:rPr>
        <w:t>)</w:t>
      </w:r>
      <w:r w:rsidR="00D87D15" w:rsidRPr="005D1ACB">
        <w:rPr>
          <w:rFonts w:ascii="Arial" w:hAnsi="Arial" w:cs="Arial"/>
          <w:b/>
          <w:sz w:val="28"/>
          <w:szCs w:val="28"/>
        </w:rPr>
        <w:t xml:space="preserve"> </w:t>
      </w:r>
    </w:p>
    <w:p w14:paraId="22BEA4C8" w14:textId="06C4526C" w:rsidR="00F60C72" w:rsidRDefault="00F60C72" w:rsidP="004A3478">
      <w:pPr>
        <w:rPr>
          <w:rFonts w:ascii="Arial" w:hAnsi="Arial" w:cs="Arial"/>
          <w:b/>
          <w:sz w:val="28"/>
          <w:szCs w:val="28"/>
        </w:rPr>
      </w:pPr>
    </w:p>
    <w:tbl>
      <w:tblPr>
        <w:tblStyle w:val="TableGridLight"/>
        <w:tblW w:w="15501" w:type="dxa"/>
        <w:tblLook w:val="04A0" w:firstRow="1" w:lastRow="0" w:firstColumn="1" w:lastColumn="0" w:noHBand="0" w:noVBand="1"/>
      </w:tblPr>
      <w:tblGrid>
        <w:gridCol w:w="2689"/>
        <w:gridCol w:w="5583"/>
        <w:gridCol w:w="1530"/>
        <w:gridCol w:w="1959"/>
        <w:gridCol w:w="3740"/>
      </w:tblGrid>
      <w:tr w:rsidR="00F60C72" w:rsidRPr="005D1ACB" w14:paraId="7DEFD86C" w14:textId="77777777" w:rsidTr="00537FF3">
        <w:trPr>
          <w:tblHeader/>
        </w:trPr>
        <w:tc>
          <w:tcPr>
            <w:tcW w:w="2689" w:type="dxa"/>
            <w:shd w:val="clear" w:color="auto" w:fill="C2D69B" w:themeFill="accent3" w:themeFillTint="99"/>
          </w:tcPr>
          <w:p w14:paraId="474CCD91" w14:textId="77777777" w:rsidR="00F60C72" w:rsidRPr="005D1ACB" w:rsidRDefault="00F60C72" w:rsidP="00AA11E4">
            <w:pPr>
              <w:rPr>
                <w:rFonts w:ascii="Arial" w:hAnsi="Arial" w:cs="Arial"/>
                <w:b/>
                <w:sz w:val="28"/>
                <w:szCs w:val="28"/>
              </w:rPr>
            </w:pPr>
            <w:r w:rsidRPr="005D1ACB">
              <w:rPr>
                <w:rFonts w:ascii="Arial" w:hAnsi="Arial" w:cs="Arial"/>
                <w:b/>
                <w:sz w:val="28"/>
                <w:szCs w:val="28"/>
              </w:rPr>
              <w:t>Policy title</w:t>
            </w:r>
          </w:p>
        </w:tc>
        <w:tc>
          <w:tcPr>
            <w:tcW w:w="5583" w:type="dxa"/>
            <w:shd w:val="clear" w:color="auto" w:fill="C2D69B" w:themeFill="accent3" w:themeFillTint="99"/>
          </w:tcPr>
          <w:p w14:paraId="68770186" w14:textId="77777777" w:rsidR="00F60C72" w:rsidRPr="005D1ACB" w:rsidRDefault="00F60C72" w:rsidP="00AA11E4">
            <w:pPr>
              <w:rPr>
                <w:rFonts w:ascii="Arial" w:hAnsi="Arial" w:cs="Arial"/>
                <w:b/>
                <w:sz w:val="28"/>
                <w:szCs w:val="28"/>
              </w:rPr>
            </w:pPr>
            <w:r w:rsidRPr="005D1ACB">
              <w:rPr>
                <w:rFonts w:ascii="Arial" w:hAnsi="Arial" w:cs="Arial"/>
                <w:b/>
                <w:sz w:val="28"/>
                <w:szCs w:val="28"/>
              </w:rPr>
              <w:t>Aim of Policy</w:t>
            </w:r>
          </w:p>
        </w:tc>
        <w:tc>
          <w:tcPr>
            <w:tcW w:w="1530" w:type="dxa"/>
            <w:shd w:val="clear" w:color="auto" w:fill="C2D69B" w:themeFill="accent3" w:themeFillTint="99"/>
          </w:tcPr>
          <w:p w14:paraId="38826751" w14:textId="77777777" w:rsidR="00F60C72" w:rsidRPr="005D1ACB" w:rsidRDefault="00F60C72" w:rsidP="00C2388E">
            <w:pPr>
              <w:rPr>
                <w:rFonts w:ascii="Arial" w:hAnsi="Arial" w:cs="Arial"/>
                <w:b/>
                <w:sz w:val="28"/>
                <w:szCs w:val="28"/>
              </w:rPr>
            </w:pPr>
            <w:r w:rsidRPr="005D1ACB">
              <w:rPr>
                <w:rFonts w:ascii="Arial" w:hAnsi="Arial" w:cs="Arial"/>
                <w:b/>
                <w:sz w:val="28"/>
                <w:szCs w:val="28"/>
              </w:rPr>
              <w:t>New / existing / revised policy</w:t>
            </w:r>
          </w:p>
        </w:tc>
        <w:tc>
          <w:tcPr>
            <w:tcW w:w="1959" w:type="dxa"/>
            <w:shd w:val="clear" w:color="auto" w:fill="C2D69B" w:themeFill="accent3" w:themeFillTint="99"/>
          </w:tcPr>
          <w:p w14:paraId="7DC26F01" w14:textId="77777777" w:rsidR="00F60C72" w:rsidRPr="005D1ACB" w:rsidRDefault="00F60C72" w:rsidP="0087239B">
            <w:pPr>
              <w:rPr>
                <w:rFonts w:ascii="Arial" w:hAnsi="Arial" w:cs="Arial"/>
                <w:b/>
                <w:sz w:val="28"/>
                <w:szCs w:val="28"/>
              </w:rPr>
            </w:pPr>
            <w:r w:rsidRPr="005D1ACB">
              <w:rPr>
                <w:rFonts w:ascii="Arial" w:hAnsi="Arial" w:cs="Arial"/>
                <w:b/>
                <w:sz w:val="28"/>
                <w:szCs w:val="28"/>
              </w:rPr>
              <w:t>Date of Screening</w:t>
            </w:r>
          </w:p>
        </w:tc>
        <w:tc>
          <w:tcPr>
            <w:tcW w:w="3740" w:type="dxa"/>
            <w:shd w:val="clear" w:color="auto" w:fill="C2D69B" w:themeFill="accent3" w:themeFillTint="99"/>
          </w:tcPr>
          <w:p w14:paraId="27297EBD" w14:textId="77777777" w:rsidR="00F60C72" w:rsidRPr="005D1ACB" w:rsidRDefault="00F60C72" w:rsidP="00AA11E4">
            <w:pPr>
              <w:rPr>
                <w:rFonts w:ascii="Arial" w:hAnsi="Arial" w:cs="Arial"/>
                <w:b/>
                <w:sz w:val="28"/>
                <w:szCs w:val="28"/>
              </w:rPr>
            </w:pPr>
            <w:r w:rsidRPr="005D1ACB">
              <w:rPr>
                <w:rFonts w:ascii="Arial" w:hAnsi="Arial" w:cs="Arial"/>
                <w:b/>
                <w:sz w:val="28"/>
                <w:szCs w:val="28"/>
              </w:rPr>
              <w:t>Screening decision</w:t>
            </w:r>
          </w:p>
        </w:tc>
      </w:tr>
      <w:tr w:rsidR="00A61A72" w:rsidRPr="00F60C72" w14:paraId="4CC22411" w14:textId="77777777" w:rsidTr="00A45EEF">
        <w:tc>
          <w:tcPr>
            <w:tcW w:w="2689" w:type="dxa"/>
          </w:tcPr>
          <w:p w14:paraId="00A8AFF6" w14:textId="5C567727" w:rsidR="00A61A72" w:rsidRDefault="001F112A" w:rsidP="00A45EEF">
            <w:pPr>
              <w:rPr>
                <w:rFonts w:ascii="Arial" w:hAnsi="Arial" w:cs="Arial"/>
                <w:bCs/>
                <w:sz w:val="28"/>
                <w:szCs w:val="28"/>
              </w:rPr>
            </w:pPr>
            <w:r>
              <w:rPr>
                <w:rFonts w:ascii="Arial" w:hAnsi="Arial" w:cs="Arial"/>
                <w:bCs/>
                <w:sz w:val="28"/>
                <w:szCs w:val="28"/>
              </w:rPr>
              <w:t>Terms and Conditions</w:t>
            </w:r>
          </w:p>
        </w:tc>
        <w:tc>
          <w:tcPr>
            <w:tcW w:w="5583" w:type="dxa"/>
          </w:tcPr>
          <w:p w14:paraId="45C09A09" w14:textId="77777777" w:rsidR="001F112A" w:rsidRPr="001F112A" w:rsidRDefault="001F112A" w:rsidP="001F112A">
            <w:pPr>
              <w:rPr>
                <w:rFonts w:ascii="Arial" w:eastAsia="Times New Roman" w:hAnsi="Arial" w:cs="Arial"/>
                <w:sz w:val="28"/>
                <w:szCs w:val="28"/>
              </w:rPr>
            </w:pPr>
            <w:r w:rsidRPr="001F112A">
              <w:rPr>
                <w:rFonts w:ascii="Arial" w:eastAsia="Times New Roman" w:hAnsi="Arial" w:cs="Arial"/>
                <w:sz w:val="28"/>
                <w:szCs w:val="28"/>
              </w:rPr>
              <w:t>The terms and conditions sets out the rights and responsibilities of the colleges as a service provider and the student (a user) of the service.  Terms and conditions apply to college higher education (HE) students only.</w:t>
            </w:r>
          </w:p>
          <w:p w14:paraId="62730DE3" w14:textId="55C01A5F" w:rsidR="00A61A72" w:rsidRPr="00537FF3" w:rsidRDefault="00A61A72" w:rsidP="00A45EEF">
            <w:pPr>
              <w:rPr>
                <w:rFonts w:ascii="Arial" w:eastAsia="Times New Roman" w:hAnsi="Arial" w:cs="Arial"/>
                <w:sz w:val="28"/>
                <w:szCs w:val="28"/>
              </w:rPr>
            </w:pPr>
          </w:p>
        </w:tc>
        <w:tc>
          <w:tcPr>
            <w:tcW w:w="1530" w:type="dxa"/>
          </w:tcPr>
          <w:p w14:paraId="72E8AD08" w14:textId="1DD6DE99" w:rsidR="00A61A72" w:rsidRDefault="001F112A" w:rsidP="00A45EEF">
            <w:pPr>
              <w:rPr>
                <w:rFonts w:ascii="Arial" w:hAnsi="Arial" w:cs="Arial"/>
                <w:bCs/>
                <w:sz w:val="28"/>
                <w:szCs w:val="28"/>
              </w:rPr>
            </w:pPr>
            <w:r>
              <w:rPr>
                <w:rFonts w:ascii="Arial" w:hAnsi="Arial" w:cs="Arial"/>
                <w:bCs/>
                <w:sz w:val="28"/>
                <w:szCs w:val="28"/>
              </w:rPr>
              <w:t>Revised</w:t>
            </w:r>
          </w:p>
        </w:tc>
        <w:tc>
          <w:tcPr>
            <w:tcW w:w="1959" w:type="dxa"/>
          </w:tcPr>
          <w:p w14:paraId="634302F7" w14:textId="31216AA7" w:rsidR="00A61A72" w:rsidRDefault="001F112A" w:rsidP="0087239B">
            <w:pPr>
              <w:rPr>
                <w:rFonts w:ascii="Arial" w:hAnsi="Arial" w:cs="Arial"/>
                <w:bCs/>
                <w:sz w:val="28"/>
                <w:szCs w:val="28"/>
              </w:rPr>
            </w:pPr>
            <w:r>
              <w:rPr>
                <w:rFonts w:ascii="Arial" w:hAnsi="Arial" w:cs="Arial"/>
                <w:bCs/>
                <w:sz w:val="28"/>
                <w:szCs w:val="28"/>
              </w:rPr>
              <w:t>21 October</w:t>
            </w:r>
            <w:r w:rsidR="00A61A72">
              <w:rPr>
                <w:rFonts w:ascii="Arial" w:hAnsi="Arial" w:cs="Arial"/>
                <w:bCs/>
                <w:sz w:val="28"/>
                <w:szCs w:val="28"/>
              </w:rPr>
              <w:t xml:space="preserve"> 2022</w:t>
            </w:r>
          </w:p>
        </w:tc>
        <w:tc>
          <w:tcPr>
            <w:tcW w:w="3740" w:type="dxa"/>
          </w:tcPr>
          <w:p w14:paraId="1CD5AFB3" w14:textId="3853271A" w:rsidR="00A61A72" w:rsidRPr="00537FF3" w:rsidRDefault="001F112A" w:rsidP="00A45EEF">
            <w:pPr>
              <w:rPr>
                <w:rFonts w:ascii="Arial" w:eastAsia="Times New Roman" w:hAnsi="Arial" w:cs="Arial"/>
                <w:sz w:val="28"/>
                <w:szCs w:val="28"/>
              </w:rPr>
            </w:pPr>
            <w:r w:rsidRPr="001F112A">
              <w:rPr>
                <w:rFonts w:ascii="Arial" w:eastAsia="Times New Roman" w:hAnsi="Arial" w:cs="Arial"/>
                <w:sz w:val="28"/>
                <w:szCs w:val="28"/>
              </w:rPr>
              <w:t>The Policy is a legislative requirement and has no impact on any of the Section 75 equality categories</w:t>
            </w:r>
          </w:p>
        </w:tc>
      </w:tr>
      <w:tr w:rsidR="001F112A" w:rsidRPr="00F60C72" w14:paraId="636B58A1" w14:textId="77777777" w:rsidTr="00A45EEF">
        <w:tc>
          <w:tcPr>
            <w:tcW w:w="2689" w:type="dxa"/>
          </w:tcPr>
          <w:p w14:paraId="6676D8C1" w14:textId="0BB14598" w:rsidR="001F112A" w:rsidRPr="001F112A" w:rsidRDefault="001F112A" w:rsidP="00A45EEF">
            <w:pPr>
              <w:rPr>
                <w:rFonts w:ascii="Arial" w:hAnsi="Arial" w:cs="Arial"/>
                <w:sz w:val="28"/>
                <w:szCs w:val="28"/>
              </w:rPr>
            </w:pPr>
            <w:r w:rsidRPr="001F112A">
              <w:rPr>
                <w:rFonts w:ascii="Arial" w:hAnsi="Arial" w:cs="Arial"/>
                <w:sz w:val="28"/>
                <w:szCs w:val="28"/>
              </w:rPr>
              <w:t>Accessible Information Policy</w:t>
            </w:r>
          </w:p>
        </w:tc>
        <w:tc>
          <w:tcPr>
            <w:tcW w:w="5583" w:type="dxa"/>
          </w:tcPr>
          <w:p w14:paraId="4C8CA8BF" w14:textId="77777777" w:rsidR="001F112A" w:rsidRPr="001F112A" w:rsidRDefault="001F112A" w:rsidP="001F112A">
            <w:pPr>
              <w:rPr>
                <w:rFonts w:ascii="Arial" w:eastAsia="Times New Roman" w:hAnsi="Arial" w:cs="Arial"/>
                <w:b/>
                <w:bCs/>
                <w:sz w:val="28"/>
                <w:szCs w:val="28"/>
              </w:rPr>
            </w:pPr>
            <w:r w:rsidRPr="001F112A">
              <w:rPr>
                <w:rFonts w:ascii="Arial" w:eastAsia="Times New Roman" w:hAnsi="Arial" w:cs="Arial"/>
                <w:sz w:val="28"/>
                <w:szCs w:val="28"/>
              </w:rPr>
              <w:t>The aim of the policy is to ensure that thought is given to providing information in a format that is appropriate to meeting a range of information needs.</w:t>
            </w:r>
          </w:p>
          <w:p w14:paraId="7866449E" w14:textId="77777777" w:rsidR="001F112A" w:rsidRPr="001F112A" w:rsidRDefault="001F112A" w:rsidP="001F112A">
            <w:pPr>
              <w:rPr>
                <w:rFonts w:ascii="Arial" w:eastAsia="Times New Roman" w:hAnsi="Arial" w:cs="Arial"/>
                <w:sz w:val="28"/>
                <w:szCs w:val="28"/>
              </w:rPr>
            </w:pPr>
          </w:p>
        </w:tc>
        <w:tc>
          <w:tcPr>
            <w:tcW w:w="1530" w:type="dxa"/>
          </w:tcPr>
          <w:p w14:paraId="06635FCE" w14:textId="6E3B74C2" w:rsidR="001F112A" w:rsidRDefault="001F112A" w:rsidP="00A45EEF">
            <w:pPr>
              <w:rPr>
                <w:rFonts w:ascii="Arial" w:hAnsi="Arial" w:cs="Arial"/>
                <w:bCs/>
                <w:sz w:val="28"/>
                <w:szCs w:val="28"/>
              </w:rPr>
            </w:pPr>
            <w:r>
              <w:rPr>
                <w:rFonts w:ascii="Arial" w:hAnsi="Arial" w:cs="Arial"/>
                <w:bCs/>
                <w:sz w:val="28"/>
                <w:szCs w:val="28"/>
              </w:rPr>
              <w:t>Revised</w:t>
            </w:r>
          </w:p>
        </w:tc>
        <w:tc>
          <w:tcPr>
            <w:tcW w:w="1959" w:type="dxa"/>
          </w:tcPr>
          <w:p w14:paraId="2D5F25CC" w14:textId="31192EDA" w:rsidR="001F112A" w:rsidRDefault="001F112A" w:rsidP="0087239B">
            <w:pPr>
              <w:rPr>
                <w:rFonts w:ascii="Arial" w:hAnsi="Arial" w:cs="Arial"/>
                <w:bCs/>
                <w:sz w:val="28"/>
                <w:szCs w:val="28"/>
              </w:rPr>
            </w:pPr>
            <w:r>
              <w:rPr>
                <w:rFonts w:ascii="Arial" w:hAnsi="Arial" w:cs="Arial"/>
                <w:bCs/>
                <w:sz w:val="28"/>
                <w:szCs w:val="28"/>
              </w:rPr>
              <w:t>10 November 2022</w:t>
            </w:r>
          </w:p>
        </w:tc>
        <w:tc>
          <w:tcPr>
            <w:tcW w:w="3740" w:type="dxa"/>
          </w:tcPr>
          <w:p w14:paraId="3639D349" w14:textId="4C14A27F" w:rsidR="001F112A" w:rsidRPr="001F112A" w:rsidRDefault="001F112A" w:rsidP="00A45EEF">
            <w:pPr>
              <w:rPr>
                <w:rFonts w:ascii="Arial" w:eastAsia="Times New Roman" w:hAnsi="Arial" w:cs="Arial"/>
                <w:sz w:val="28"/>
                <w:szCs w:val="28"/>
              </w:rPr>
            </w:pPr>
            <w:r w:rsidRPr="001F112A">
              <w:rPr>
                <w:rFonts w:ascii="Arial" w:eastAsia="Times New Roman" w:hAnsi="Arial" w:cs="Arial"/>
                <w:sz w:val="28"/>
                <w:szCs w:val="28"/>
              </w:rPr>
              <w:t>The Policy has a positive impact on disability, age and racial group as alternative formats will be made available on request where practicable.  There is no adverse impact on the remaining categories</w:t>
            </w:r>
          </w:p>
        </w:tc>
      </w:tr>
      <w:tr w:rsidR="00294B07" w:rsidRPr="00F60C72" w14:paraId="555B4AC7" w14:textId="77777777" w:rsidTr="00A45EEF">
        <w:tc>
          <w:tcPr>
            <w:tcW w:w="2689" w:type="dxa"/>
          </w:tcPr>
          <w:p w14:paraId="50A6A85A" w14:textId="635FB95F" w:rsidR="00294B07" w:rsidRPr="001F112A" w:rsidRDefault="00294B07" w:rsidP="00A45EEF">
            <w:pPr>
              <w:rPr>
                <w:rFonts w:ascii="Arial" w:hAnsi="Arial" w:cs="Arial"/>
                <w:sz w:val="28"/>
                <w:szCs w:val="28"/>
              </w:rPr>
            </w:pPr>
            <w:r>
              <w:rPr>
                <w:rFonts w:ascii="Arial" w:hAnsi="Arial" w:cs="Arial"/>
                <w:sz w:val="28"/>
                <w:szCs w:val="28"/>
              </w:rPr>
              <w:t>Clear Desk and Clear Screen Policy</w:t>
            </w:r>
          </w:p>
        </w:tc>
        <w:tc>
          <w:tcPr>
            <w:tcW w:w="5583" w:type="dxa"/>
          </w:tcPr>
          <w:p w14:paraId="4AAFE8E5" w14:textId="77777777" w:rsidR="00294B07" w:rsidRPr="00294B07" w:rsidRDefault="00294B07" w:rsidP="00294B07">
            <w:pPr>
              <w:rPr>
                <w:rFonts w:ascii="Arial" w:eastAsia="Times New Roman" w:hAnsi="Arial" w:cs="Arial"/>
                <w:sz w:val="28"/>
                <w:szCs w:val="28"/>
              </w:rPr>
            </w:pPr>
            <w:r w:rsidRPr="00294B07">
              <w:rPr>
                <w:rFonts w:ascii="Arial" w:eastAsia="Times New Roman" w:hAnsi="Arial" w:cs="Arial"/>
                <w:sz w:val="28"/>
                <w:szCs w:val="28"/>
              </w:rPr>
              <w:t xml:space="preserve">The aim of this policy is to establish the minimum requirements for maintaining clear desks and to ensure any confidential, restricted or sensitive information is locked away and out of sight.  In addition, to ensure that all sensitive and confidential information, whether it be on paper, a storage device, or a hardware device, is </w:t>
            </w:r>
            <w:r w:rsidRPr="00294B07">
              <w:rPr>
                <w:rFonts w:ascii="Arial" w:eastAsia="Times New Roman" w:hAnsi="Arial" w:cs="Arial"/>
                <w:sz w:val="28"/>
                <w:szCs w:val="28"/>
              </w:rPr>
              <w:lastRenderedPageBreak/>
              <w:t xml:space="preserve">properly locked away or disposed of when a workstation is not in use.  This policy will reduce the risk of unauthorised access, loss of, and damage to information during and outside of normal business hours or when desks are left unattended.  </w:t>
            </w:r>
          </w:p>
          <w:p w14:paraId="24956821" w14:textId="77777777" w:rsidR="00294B07" w:rsidRPr="001F112A" w:rsidRDefault="00294B07" w:rsidP="001F112A">
            <w:pPr>
              <w:rPr>
                <w:rFonts w:ascii="Arial" w:eastAsia="Times New Roman" w:hAnsi="Arial" w:cs="Arial"/>
                <w:sz w:val="28"/>
                <w:szCs w:val="28"/>
              </w:rPr>
            </w:pPr>
          </w:p>
        </w:tc>
        <w:tc>
          <w:tcPr>
            <w:tcW w:w="1530" w:type="dxa"/>
          </w:tcPr>
          <w:p w14:paraId="12C86EE4" w14:textId="24154FF1" w:rsidR="00294B07" w:rsidRDefault="00294B07" w:rsidP="00A45EEF">
            <w:pPr>
              <w:rPr>
                <w:rFonts w:ascii="Arial" w:hAnsi="Arial" w:cs="Arial"/>
                <w:bCs/>
                <w:sz w:val="28"/>
                <w:szCs w:val="28"/>
              </w:rPr>
            </w:pPr>
            <w:r>
              <w:rPr>
                <w:rFonts w:ascii="Arial" w:hAnsi="Arial" w:cs="Arial"/>
                <w:bCs/>
                <w:sz w:val="28"/>
                <w:szCs w:val="28"/>
              </w:rPr>
              <w:lastRenderedPageBreak/>
              <w:t>Revised</w:t>
            </w:r>
          </w:p>
        </w:tc>
        <w:tc>
          <w:tcPr>
            <w:tcW w:w="1959" w:type="dxa"/>
          </w:tcPr>
          <w:p w14:paraId="2E52DD72" w14:textId="0F7FE16C" w:rsidR="00294B07" w:rsidRDefault="00294B07" w:rsidP="0087239B">
            <w:pPr>
              <w:rPr>
                <w:rFonts w:ascii="Arial" w:hAnsi="Arial" w:cs="Arial"/>
                <w:bCs/>
                <w:sz w:val="28"/>
                <w:szCs w:val="28"/>
              </w:rPr>
            </w:pPr>
            <w:r>
              <w:rPr>
                <w:rFonts w:ascii="Arial" w:hAnsi="Arial" w:cs="Arial"/>
                <w:bCs/>
                <w:sz w:val="28"/>
                <w:szCs w:val="28"/>
              </w:rPr>
              <w:t>22 November 2022</w:t>
            </w:r>
          </w:p>
        </w:tc>
        <w:tc>
          <w:tcPr>
            <w:tcW w:w="3740" w:type="dxa"/>
          </w:tcPr>
          <w:p w14:paraId="3C06363B" w14:textId="33C7C2FE" w:rsidR="00294B07" w:rsidRPr="001F112A" w:rsidRDefault="00294B07" w:rsidP="00A45EEF">
            <w:pPr>
              <w:rPr>
                <w:rFonts w:ascii="Arial" w:eastAsia="Times New Roman" w:hAnsi="Arial" w:cs="Arial"/>
                <w:sz w:val="28"/>
                <w:szCs w:val="28"/>
              </w:rPr>
            </w:pPr>
            <w:r w:rsidRPr="00294B07">
              <w:rPr>
                <w:rFonts w:ascii="Arial" w:eastAsia="Times New Roman" w:hAnsi="Arial" w:cs="Arial"/>
                <w:sz w:val="28"/>
                <w:szCs w:val="28"/>
              </w:rPr>
              <w:t>The Policy has no impact on any of the Section 75 equality categories</w:t>
            </w:r>
          </w:p>
        </w:tc>
      </w:tr>
      <w:tr w:rsidR="00294B07" w:rsidRPr="00F60C72" w14:paraId="0E292BD5" w14:textId="77777777" w:rsidTr="00A45EEF">
        <w:tc>
          <w:tcPr>
            <w:tcW w:w="2689" w:type="dxa"/>
          </w:tcPr>
          <w:p w14:paraId="7EB17C56" w14:textId="6708AD62" w:rsidR="00294B07" w:rsidRDefault="00294B07" w:rsidP="00A45EEF">
            <w:pPr>
              <w:rPr>
                <w:rFonts w:ascii="Arial" w:hAnsi="Arial" w:cs="Arial"/>
                <w:sz w:val="28"/>
                <w:szCs w:val="28"/>
              </w:rPr>
            </w:pPr>
            <w:r>
              <w:rPr>
                <w:rFonts w:ascii="Arial" w:hAnsi="Arial" w:cs="Arial"/>
                <w:sz w:val="28"/>
                <w:szCs w:val="28"/>
              </w:rPr>
              <w:t>Code of Practice for System Administrators and Library Personnel</w:t>
            </w:r>
          </w:p>
        </w:tc>
        <w:tc>
          <w:tcPr>
            <w:tcW w:w="5583" w:type="dxa"/>
          </w:tcPr>
          <w:p w14:paraId="56A4EB47" w14:textId="77777777" w:rsidR="00294B07" w:rsidRPr="00294B07" w:rsidRDefault="00294B07" w:rsidP="00294B07">
            <w:pPr>
              <w:rPr>
                <w:rFonts w:ascii="Arial" w:eastAsia="Times New Roman" w:hAnsi="Arial" w:cs="Arial"/>
                <w:sz w:val="28"/>
                <w:szCs w:val="28"/>
              </w:rPr>
            </w:pPr>
            <w:r w:rsidRPr="00294B07">
              <w:rPr>
                <w:rFonts w:ascii="Arial" w:eastAsia="Times New Roman" w:hAnsi="Arial" w:cs="Arial"/>
                <w:sz w:val="28"/>
                <w:szCs w:val="28"/>
              </w:rPr>
              <w:t>The purpose of this code is to ensure that the rights of staff (teaching and support) and students are protected.  The document defines the processes that may be undertaken in terms of monitoring the usage of all computer systems owned or operated by the College</w:t>
            </w:r>
          </w:p>
          <w:p w14:paraId="79FBFE80" w14:textId="77777777" w:rsidR="00294B07" w:rsidRPr="00294B07" w:rsidRDefault="00294B07" w:rsidP="00294B07">
            <w:pPr>
              <w:rPr>
                <w:rFonts w:ascii="Arial" w:eastAsia="Times New Roman" w:hAnsi="Arial" w:cs="Arial"/>
                <w:sz w:val="28"/>
                <w:szCs w:val="28"/>
              </w:rPr>
            </w:pPr>
          </w:p>
        </w:tc>
        <w:tc>
          <w:tcPr>
            <w:tcW w:w="1530" w:type="dxa"/>
          </w:tcPr>
          <w:p w14:paraId="535F8017" w14:textId="729FE991" w:rsidR="00294B07" w:rsidRDefault="00294B07" w:rsidP="00A45EEF">
            <w:pPr>
              <w:rPr>
                <w:rFonts w:ascii="Arial" w:hAnsi="Arial" w:cs="Arial"/>
                <w:bCs/>
                <w:sz w:val="28"/>
                <w:szCs w:val="28"/>
              </w:rPr>
            </w:pPr>
            <w:r>
              <w:rPr>
                <w:rFonts w:ascii="Arial" w:hAnsi="Arial" w:cs="Arial"/>
                <w:bCs/>
                <w:sz w:val="28"/>
                <w:szCs w:val="28"/>
              </w:rPr>
              <w:t>Revised</w:t>
            </w:r>
          </w:p>
        </w:tc>
        <w:tc>
          <w:tcPr>
            <w:tcW w:w="1959" w:type="dxa"/>
          </w:tcPr>
          <w:p w14:paraId="11C1DB7C" w14:textId="59A77266" w:rsidR="00294B07" w:rsidRDefault="00294B07" w:rsidP="0087239B">
            <w:pPr>
              <w:rPr>
                <w:rFonts w:ascii="Arial" w:hAnsi="Arial" w:cs="Arial"/>
                <w:bCs/>
                <w:sz w:val="28"/>
                <w:szCs w:val="28"/>
              </w:rPr>
            </w:pPr>
            <w:r>
              <w:rPr>
                <w:rFonts w:ascii="Arial" w:hAnsi="Arial" w:cs="Arial"/>
                <w:bCs/>
                <w:sz w:val="28"/>
                <w:szCs w:val="28"/>
              </w:rPr>
              <w:t>22 November 2022</w:t>
            </w:r>
          </w:p>
        </w:tc>
        <w:tc>
          <w:tcPr>
            <w:tcW w:w="3740" w:type="dxa"/>
          </w:tcPr>
          <w:p w14:paraId="550DD174" w14:textId="34636FDD" w:rsidR="00294B07" w:rsidRPr="00294B07" w:rsidRDefault="00294B07" w:rsidP="00A45EEF">
            <w:pPr>
              <w:rPr>
                <w:rFonts w:ascii="Arial" w:eastAsia="Times New Roman" w:hAnsi="Arial" w:cs="Arial"/>
                <w:sz w:val="28"/>
                <w:szCs w:val="28"/>
              </w:rPr>
            </w:pPr>
            <w:r w:rsidRPr="00294B07">
              <w:rPr>
                <w:rFonts w:ascii="Arial" w:eastAsia="Times New Roman" w:hAnsi="Arial" w:cs="Arial"/>
                <w:sz w:val="28"/>
                <w:szCs w:val="28"/>
              </w:rPr>
              <w:t>No negative impact on all nine equality categories</w:t>
            </w:r>
          </w:p>
        </w:tc>
      </w:tr>
    </w:tbl>
    <w:p w14:paraId="604A8588" w14:textId="3AA276B3" w:rsidR="00D00DD8" w:rsidRDefault="00D00DD8" w:rsidP="00D00DD8">
      <w:r>
        <w:tab/>
      </w:r>
    </w:p>
    <w:p w14:paraId="27018F80" w14:textId="01EAF3C6" w:rsidR="00D00DD8" w:rsidRDefault="00D00DD8" w:rsidP="00D00DD8"/>
    <w:p w14:paraId="2D96B757" w14:textId="77777777" w:rsidR="00D00DD8" w:rsidRDefault="00D00DD8" w:rsidP="00D00DD8"/>
    <w:sectPr w:rsidR="00D00DD8" w:rsidSect="00FE5508">
      <w:headerReference w:type="even" r:id="rId8"/>
      <w:headerReference w:type="default" r:id="rId9"/>
      <w:footerReference w:type="even" r:id="rId10"/>
      <w:headerReference w:type="first" r:id="rId11"/>
      <w:footerReference w:type="firs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69BD5" w14:textId="77777777" w:rsidR="00934E05" w:rsidRDefault="00934E05" w:rsidP="006E34E8">
      <w:r>
        <w:separator/>
      </w:r>
    </w:p>
  </w:endnote>
  <w:endnote w:type="continuationSeparator" w:id="0">
    <w:p w14:paraId="010C08E9" w14:textId="77777777" w:rsidR="00934E05" w:rsidRDefault="00934E05" w:rsidP="006E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92E9B" w14:textId="4AC37D05" w:rsidR="00DD1AED" w:rsidRDefault="00DD1AED">
    <w:pPr>
      <w:pStyle w:val="Footer"/>
    </w:pPr>
    <w:r>
      <w:rPr>
        <w:noProof/>
      </w:rPr>
      <mc:AlternateContent>
        <mc:Choice Requires="wps">
          <w:drawing>
            <wp:anchor distT="0" distB="0" distL="0" distR="0" simplePos="0" relativeHeight="251659264" behindDoc="0" locked="0" layoutInCell="1" allowOverlap="1" wp14:anchorId="48A01157" wp14:editId="2D44313D">
              <wp:simplePos x="635" y="635"/>
              <wp:positionH relativeFrom="leftMargin">
                <wp:align>left</wp:align>
              </wp:positionH>
              <wp:positionV relativeFrom="paragraph">
                <wp:posOffset>635</wp:posOffset>
              </wp:positionV>
              <wp:extent cx="443865" cy="443865"/>
              <wp:effectExtent l="0" t="0" r="8255" b="16510"/>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45F09F" w14:textId="482CF62D" w:rsidR="00DD1AED" w:rsidRPr="00DD1AED" w:rsidRDefault="00DD1AED">
                          <w:pPr>
                            <w:rPr>
                              <w:rFonts w:ascii="Calibri" w:eastAsia="Calibri" w:hAnsi="Calibri" w:cs="Calibri"/>
                              <w:color w:val="FFFF00"/>
                              <w:sz w:val="20"/>
                              <w:szCs w:val="20"/>
                            </w:rPr>
                          </w:pPr>
                          <w:r w:rsidRPr="00DD1AED">
                            <w:rPr>
                              <w:rFonts w:ascii="Calibri" w:eastAsia="Calibri" w:hAnsi="Calibri" w:cs="Calibri"/>
                              <w:color w:val="FFFF00"/>
                              <w:sz w:val="20"/>
                              <w:szCs w:val="20"/>
                            </w:rPr>
                            <w:t>Please treat this information as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8A01157" id="_x0000_t202" coordsize="21600,21600" o:spt="202" path="m,l,21600r21600,l21600,xe">
              <v:stroke joinstyle="miter"/>
              <v:path gradientshapeok="t" o:connecttype="rect"/>
            </v:shapetype>
            <v:shape id="Text Box 2" o:spid="_x0000_s1028" type="#_x0000_t202" alt="&quot;&quot;"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5A45F09F" w14:textId="482CF62D" w:rsidR="00DD1AED" w:rsidRPr="00DD1AED" w:rsidRDefault="00DD1AED">
                    <w:pPr>
                      <w:rPr>
                        <w:rFonts w:ascii="Calibri" w:eastAsia="Calibri" w:hAnsi="Calibri" w:cs="Calibri"/>
                        <w:color w:val="FFFF00"/>
                        <w:sz w:val="20"/>
                        <w:szCs w:val="20"/>
                      </w:rPr>
                    </w:pPr>
                    <w:r w:rsidRPr="00DD1AED">
                      <w:rPr>
                        <w:rFonts w:ascii="Calibri" w:eastAsia="Calibri" w:hAnsi="Calibri" w:cs="Calibri"/>
                        <w:color w:val="FFFF00"/>
                        <w:sz w:val="20"/>
                        <w:szCs w:val="20"/>
                      </w:rPr>
                      <w:t>Please treat this information as Official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55A3C" w14:textId="1033BE44" w:rsidR="00DD1AED" w:rsidRDefault="00DD1AED">
    <w:pPr>
      <w:pStyle w:val="Footer"/>
    </w:pPr>
    <w:r>
      <w:rPr>
        <w:noProof/>
      </w:rPr>
      <mc:AlternateContent>
        <mc:Choice Requires="wps">
          <w:drawing>
            <wp:anchor distT="0" distB="0" distL="0" distR="0" simplePos="0" relativeHeight="251658240" behindDoc="0" locked="0" layoutInCell="1" allowOverlap="1" wp14:anchorId="2C16E349" wp14:editId="24B8303B">
              <wp:simplePos x="635" y="635"/>
              <wp:positionH relativeFrom="leftMargin">
                <wp:align>left</wp:align>
              </wp:positionH>
              <wp:positionV relativeFrom="paragraph">
                <wp:posOffset>635</wp:posOffset>
              </wp:positionV>
              <wp:extent cx="443865" cy="443865"/>
              <wp:effectExtent l="0" t="0" r="8255" b="16510"/>
              <wp:wrapSquare wrapText="bothSides"/>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10EBD9" w14:textId="22349A4F" w:rsidR="00DD1AED" w:rsidRPr="00DD1AED" w:rsidRDefault="00DD1AED">
                          <w:pPr>
                            <w:rPr>
                              <w:rFonts w:ascii="Calibri" w:eastAsia="Calibri" w:hAnsi="Calibri" w:cs="Calibri"/>
                              <w:color w:val="FFFF00"/>
                              <w:sz w:val="20"/>
                              <w:szCs w:val="20"/>
                            </w:rPr>
                          </w:pPr>
                          <w:r w:rsidRPr="00DD1AED">
                            <w:rPr>
                              <w:rFonts w:ascii="Calibri" w:eastAsia="Calibri" w:hAnsi="Calibri" w:cs="Calibri"/>
                              <w:color w:val="FFFF00"/>
                              <w:sz w:val="20"/>
                              <w:szCs w:val="20"/>
                            </w:rPr>
                            <w:t>Please treat this information as 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16E349" id="_x0000_t202" coordsize="21600,21600" o:spt="202" path="m,l,21600r21600,l21600,xe">
              <v:stroke joinstyle="miter"/>
              <v:path gradientshapeok="t" o:connecttype="rect"/>
            </v:shapetype>
            <v:shape id="Text Box 1" o:spid="_x0000_s1030" type="#_x0000_t202" alt="&quot;&quot;"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1610EBD9" w14:textId="22349A4F" w:rsidR="00DD1AED" w:rsidRPr="00DD1AED" w:rsidRDefault="00DD1AED">
                    <w:pPr>
                      <w:rPr>
                        <w:rFonts w:ascii="Calibri" w:eastAsia="Calibri" w:hAnsi="Calibri" w:cs="Calibri"/>
                        <w:color w:val="FFFF00"/>
                        <w:sz w:val="20"/>
                        <w:szCs w:val="20"/>
                      </w:rPr>
                    </w:pPr>
                    <w:r w:rsidRPr="00DD1AED">
                      <w:rPr>
                        <w:rFonts w:ascii="Calibri" w:eastAsia="Calibri" w:hAnsi="Calibri" w:cs="Calibri"/>
                        <w:color w:val="FFFF00"/>
                        <w:sz w:val="20"/>
                        <w:szCs w:val="20"/>
                      </w:rPr>
                      <w:t>Please treat this information as Official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449C" w14:textId="77777777" w:rsidR="00934E05" w:rsidRDefault="00934E05" w:rsidP="006E34E8">
      <w:r>
        <w:separator/>
      </w:r>
    </w:p>
  </w:footnote>
  <w:footnote w:type="continuationSeparator" w:id="0">
    <w:p w14:paraId="551480A7" w14:textId="77777777" w:rsidR="00934E05" w:rsidRDefault="00934E05" w:rsidP="006E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DB0D" w14:textId="4592559D" w:rsidR="00DD1AED" w:rsidRDefault="00DD1AED">
    <w:pPr>
      <w:pStyle w:val="Header"/>
    </w:pPr>
    <w:r>
      <w:rPr>
        <w:noProof/>
      </w:rPr>
      <mc:AlternateContent>
        <mc:Choice Requires="wps">
          <w:drawing>
            <wp:anchor distT="0" distB="0" distL="114300" distR="114300" simplePos="0" relativeHeight="251662336" behindDoc="1" locked="0" layoutInCell="1" allowOverlap="1" wp14:anchorId="19EB46E6" wp14:editId="01BD9910">
              <wp:simplePos x="635" y="635"/>
              <wp:positionH relativeFrom="margin">
                <wp:align>center</wp:align>
              </wp:positionH>
              <wp:positionV relativeFrom="margin">
                <wp:align>center</wp:align>
              </wp:positionV>
              <wp:extent cx="443865" cy="443865"/>
              <wp:effectExtent l="19050" t="114300" r="0" b="111760"/>
              <wp:wrapNone/>
              <wp:docPr id="5"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4BD5828F" w14:textId="58FE944B" w:rsidR="00DD1AED" w:rsidRPr="00DD1AED" w:rsidRDefault="00DD1AED">
                          <w:pPr>
                            <w:rPr>
                              <w:rFonts w:ascii="Calibri" w:eastAsia="Calibri" w:hAnsi="Calibri" w:cs="Calibri"/>
                              <w:color w:val="000000"/>
                              <w:sz w:val="20"/>
                              <w:szCs w:val="20"/>
                              <w14:textFill>
                                <w14:solidFill>
                                  <w14:srgbClr w14:val="000000">
                                    <w14:alpha w14:val="50000"/>
                                  </w14:srgbClr>
                                </w14:solidFill>
                              </w14:textFill>
                            </w:rPr>
                          </w:pPr>
                          <w:r w:rsidRPr="00DD1AED">
                            <w:rPr>
                              <w:rFonts w:ascii="Calibri" w:eastAsia="Calibri" w:hAnsi="Calibri" w:cs="Calibri"/>
                              <w:color w:val="000000"/>
                              <w:sz w:val="20"/>
                              <w:szCs w:val="20"/>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EB46E6" id="_x0000_t202" coordsize="21600,21600" o:spt="202" path="m,l,21600r21600,l21600,xe">
              <v:stroke joinstyle="miter"/>
              <v:path gradientshapeok="t" o:connecttype="rect"/>
            </v:shapetype>
            <v:shape id="Text Box 5" o:spid="_x0000_s1026" type="#_x0000_t202" alt="&quot;&quot;" style="position:absolute;margin-left:0;margin-top:0;width:34.95pt;height:34.95pt;rotation:-45;z-index:-251654144;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4BD5828F" w14:textId="58FE944B" w:rsidR="00DD1AED" w:rsidRPr="00DD1AED" w:rsidRDefault="00DD1AED">
                    <w:pPr>
                      <w:rPr>
                        <w:rFonts w:ascii="Calibri" w:eastAsia="Calibri" w:hAnsi="Calibri" w:cs="Calibri"/>
                        <w:color w:val="000000"/>
                        <w:sz w:val="20"/>
                        <w:szCs w:val="20"/>
                        <w14:textFill>
                          <w14:solidFill>
                            <w14:srgbClr w14:val="000000">
                              <w14:alpha w14:val="50000"/>
                            </w14:srgbClr>
                          </w14:solidFill>
                        </w14:textFill>
                      </w:rPr>
                    </w:pPr>
                    <w:r w:rsidRPr="00DD1AED">
                      <w:rPr>
                        <w:rFonts w:ascii="Calibri" w:eastAsia="Calibri" w:hAnsi="Calibri" w:cs="Calibri"/>
                        <w:color w:val="000000"/>
                        <w:sz w:val="20"/>
                        <w:szCs w:val="20"/>
                        <w14:textFill>
                          <w14:solidFill>
                            <w14:srgbClr w14:val="000000">
                              <w14:alpha w14:val="50000"/>
                            </w14:srgbClr>
                          </w14:solidFill>
                        </w14:textFill>
                      </w:rPr>
                      <w:t>Official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7847" w14:textId="3DB3EDBC" w:rsidR="00DD1AED" w:rsidRDefault="00DD1AED">
    <w:pPr>
      <w:pStyle w:val="Header"/>
    </w:pPr>
    <w:r>
      <w:rPr>
        <w:noProof/>
      </w:rPr>
      <mc:AlternateContent>
        <mc:Choice Requires="wps">
          <w:drawing>
            <wp:anchor distT="0" distB="0" distL="114300" distR="114300" simplePos="0" relativeHeight="251663360" behindDoc="1" locked="0" layoutInCell="1" allowOverlap="1" wp14:anchorId="3AB42535" wp14:editId="61A5B601">
              <wp:simplePos x="457200" y="447675"/>
              <wp:positionH relativeFrom="margin">
                <wp:align>center</wp:align>
              </wp:positionH>
              <wp:positionV relativeFrom="margin">
                <wp:align>center</wp:align>
              </wp:positionV>
              <wp:extent cx="443865" cy="443865"/>
              <wp:effectExtent l="19050" t="114300" r="0" b="11176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0D038FB6" w14:textId="5CACF429" w:rsidR="00DD1AED" w:rsidRPr="00DD1AED" w:rsidRDefault="00DD1AED">
                          <w:pPr>
                            <w:rPr>
                              <w:rFonts w:ascii="Calibri" w:eastAsia="Calibri" w:hAnsi="Calibri" w:cs="Calibri"/>
                              <w:color w:val="000000"/>
                              <w:sz w:val="20"/>
                              <w:szCs w:val="20"/>
                              <w14:textFill>
                                <w14:solidFill>
                                  <w14:srgbClr w14:val="000000">
                                    <w14:alpha w14:val="50000"/>
                                  </w14:srgbClr>
                                </w14:solidFill>
                              </w14:textFill>
                            </w:rPr>
                          </w:pPr>
                          <w:r w:rsidRPr="00DD1AED">
                            <w:rPr>
                              <w:rFonts w:ascii="Calibri" w:eastAsia="Calibri" w:hAnsi="Calibri" w:cs="Calibri"/>
                              <w:color w:val="000000"/>
                              <w:sz w:val="20"/>
                              <w:szCs w:val="20"/>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AB42535" id="_x0000_t202" coordsize="21600,21600" o:spt="202" path="m,l,21600r21600,l21600,xe">
              <v:stroke joinstyle="miter"/>
              <v:path gradientshapeok="t" o:connecttype="rect"/>
            </v:shapetype>
            <v:shape id="Text Box 6" o:spid="_x0000_s1027" type="#_x0000_t202" alt="&quot;&quot;" style="position:absolute;margin-left:0;margin-top:0;width:34.95pt;height:34.95pt;rotation:-45;z-index:-251653120;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ICgIAACYEAAAOAAAAZHJzL2Uyb0RvYy54bWysU8Fu2zAMvQ/YPwi6L066rkiNOEXWIsOA&#10;oC2QDj0rshwbkESBUmJnXz9KttOu7WmYD8IzRT2Rj0+Lm85odlToG7AFn02mnCkroWzsvuC/ntZf&#10;5pz5IGwpNFhV8JPy/Gb5+dOidbm6gBp0qZARifV56wpeh+DyLPOyVkb4CThlabMCNCLQL+6zEkVL&#10;7EZnF9PpVdYClg5BKu8petdv8mXiryolw0NVeRWYLjjVFtKKad3FNVsuRL5H4epGDmWIf6jCiMbS&#10;pWeqOxEEO2Dzjso0EsFDFSYSTAZV1UiVeqBuZtM33Wxr4VTqhcTx7iyT/3+08v64dY/IQvcdOhpg&#10;FKR1PvcUjP10FRqGQLrN5tfT+KU2qXBG6aTo6ayi6gKTFLy8/Dq/+saZpK0BE2nWc0VOhz78UGBY&#10;BAVHGlIiFceND33qmBLTLawbrdOgtP0rQJwxkr0UHFHodh1rylfN7KA8UY+pDSrZO7lu6OqN8OFR&#10;IM2bguTh8EBLpaEtOAyIsxrw90fxmE9joF3OWvJPwS0ZnDP909J4otVGgCPYjcAezC2QIWeplgTp&#10;AAY9wgrBPJOxV/EO2hJW0k0FDyO8Db2H6WFItVqlJDKUE2Fjt05G6lHpp+5ZoBu0DjSkexh9JfI3&#10;kve58aR3q0Mg4dM8oqq9hoPYZMY00eHhRLe//k9ZL897+QcAAP//AwBQSwMEFAAGAAgAAAAhAHGL&#10;ec/XAAAAAwEAAA8AAABkcnMvZG93bnJldi54bWxMj0FPwzAMhe9I/IfISNxYCpMqVppOgFSQdtvg&#10;B2SN21Q0TtV4W+HXY+DALn6ynvXe53I9h0EdcUp9JAO3iwwUUhNdT52B97f65h5UYkvODpHQwCcm&#10;WFeXF6UtXDzRFo877pSEUCqsAc88FlqnxmOwaRFHJPHaOAXLsk6ddpM9SXgY9F2W5TrYnqTB2xGf&#10;PTYfu0MwUHc+b1t66Tf66atOjMvX7WZpzPXV/PgAinHm/2P4wRd0qIRpHw/kkhoMyCP8O8XLVytQ&#10;+z/VVanP2atvAAAA//8DAFBLAQItABQABgAIAAAAIQC2gziS/gAAAOEBAAATAAAAAAAAAAAAAAAA&#10;AAAAAABbQ29udGVudF9UeXBlc10ueG1sUEsBAi0AFAAGAAgAAAAhADj9If/WAAAAlAEAAAsAAAAA&#10;AAAAAAAAAAAALwEAAF9yZWxzLy5yZWxzUEsBAi0AFAAGAAgAAAAhAEH5GkgKAgAAJgQAAA4AAAAA&#10;AAAAAAAAAAAALgIAAGRycy9lMm9Eb2MueG1sUEsBAi0AFAAGAAgAAAAhAHGLec/XAAAAAwEAAA8A&#10;AAAAAAAAAAAAAAAAZAQAAGRycy9kb3ducmV2LnhtbFBLBQYAAAAABAAEAPMAAABoBQAAAAA=&#10;" filled="f" stroked="f">
              <v:textbox style="mso-fit-shape-to-text:t" inset="0,0,0,0">
                <w:txbxContent>
                  <w:p w14:paraId="0D038FB6" w14:textId="5CACF429" w:rsidR="00DD1AED" w:rsidRPr="00DD1AED" w:rsidRDefault="00DD1AED">
                    <w:pPr>
                      <w:rPr>
                        <w:rFonts w:ascii="Calibri" w:eastAsia="Calibri" w:hAnsi="Calibri" w:cs="Calibri"/>
                        <w:color w:val="000000"/>
                        <w:sz w:val="20"/>
                        <w:szCs w:val="20"/>
                        <w14:textFill>
                          <w14:solidFill>
                            <w14:srgbClr w14:val="000000">
                              <w14:alpha w14:val="50000"/>
                            </w14:srgbClr>
                          </w14:solidFill>
                        </w14:textFill>
                      </w:rPr>
                    </w:pPr>
                    <w:r w:rsidRPr="00DD1AED">
                      <w:rPr>
                        <w:rFonts w:ascii="Calibri" w:eastAsia="Calibri" w:hAnsi="Calibri" w:cs="Calibri"/>
                        <w:color w:val="000000"/>
                        <w:sz w:val="20"/>
                        <w:szCs w:val="20"/>
                        <w14:textFill>
                          <w14:solidFill>
                            <w14:srgbClr w14:val="000000">
                              <w14:alpha w14:val="50000"/>
                            </w14:srgbClr>
                          </w14:solidFill>
                        </w14:textFill>
                      </w:rPr>
                      <w:t>Official</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26B7" w14:textId="473E11C0" w:rsidR="00DD1AED" w:rsidRDefault="00DD1AED">
    <w:pPr>
      <w:pStyle w:val="Header"/>
    </w:pPr>
    <w:r>
      <w:rPr>
        <w:noProof/>
      </w:rPr>
      <mc:AlternateContent>
        <mc:Choice Requires="wps">
          <w:drawing>
            <wp:anchor distT="0" distB="0" distL="114300" distR="114300" simplePos="0" relativeHeight="251661312" behindDoc="1" locked="0" layoutInCell="1" allowOverlap="1" wp14:anchorId="333BCE63" wp14:editId="2C21B8B8">
              <wp:simplePos x="635" y="635"/>
              <wp:positionH relativeFrom="margin">
                <wp:align>center</wp:align>
              </wp:positionH>
              <wp:positionV relativeFrom="margin">
                <wp:align>center</wp:align>
              </wp:positionV>
              <wp:extent cx="443865" cy="443865"/>
              <wp:effectExtent l="19050" t="114300" r="0" b="111760"/>
              <wp:wrapNone/>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11CAB76B" w14:textId="28EB47D5" w:rsidR="00DD1AED" w:rsidRPr="00DD1AED" w:rsidRDefault="00DD1AED">
                          <w:pPr>
                            <w:rPr>
                              <w:rFonts w:ascii="Calibri" w:eastAsia="Calibri" w:hAnsi="Calibri" w:cs="Calibri"/>
                              <w:color w:val="000000"/>
                              <w:sz w:val="20"/>
                              <w:szCs w:val="20"/>
                              <w14:textFill>
                                <w14:solidFill>
                                  <w14:srgbClr w14:val="000000">
                                    <w14:alpha w14:val="50000"/>
                                  </w14:srgbClr>
                                </w14:solidFill>
                              </w14:textFill>
                            </w:rPr>
                          </w:pPr>
                          <w:r w:rsidRPr="00DD1AED">
                            <w:rPr>
                              <w:rFonts w:ascii="Calibri" w:eastAsia="Calibri" w:hAnsi="Calibri" w:cs="Calibri"/>
                              <w:color w:val="000000"/>
                              <w:sz w:val="20"/>
                              <w:szCs w:val="20"/>
                              <w14:textFill>
                                <w14:solidFill>
                                  <w14:srgbClr w14:val="000000">
                                    <w14:alpha w14:val="50000"/>
                                  </w14:srgbClr>
                                </w14:solidFill>
                              </w14:textFill>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3BCE63" id="_x0000_t202" coordsize="21600,21600" o:spt="202" path="m,l,21600r21600,l21600,xe">
              <v:stroke joinstyle="miter"/>
              <v:path gradientshapeok="t" o:connecttype="rect"/>
            </v:shapetype>
            <v:shape id="Text Box 4" o:spid="_x0000_s1029" type="#_x0000_t202" alt="&quot;&quot;" style="position:absolute;margin-left:0;margin-top:0;width:34.95pt;height:34.95pt;rotation:-45;z-index:-25165516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rDAIAACYEAAAOAAAAZHJzL2Uyb0RvYy54bWysU8Fu2zAMvQ/YPwi6L07arkiNOEXWIsOA&#10;oC2QFj0rshwbkESBUmJnXz9KttOt3WmYD8IzRT2Rj0+L285odlToG7AFn02mnCkroWzsvuAvz+sv&#10;c858ELYUGqwq+El5frv8/GnRulxdQA26VMiIxPq8dQWvQ3B5lnlZKyP8BJyytFkBGhHoF/dZiaIl&#10;dqOzi+n0OmsBS4cglfcUve83+TLxV5WS4bGqvApMF5xqC2nFtO7imi0XIt+jcHUjhzLEP1RhRGPp&#10;0jPVvQiCHbD5QGUaieChChMJJoOqaqRKPVA3s+m7bra1cCr1QuJ4d5bJ/z9a+XDcuidkofsGHQ0w&#10;CtI6n3sKxn66Cg1DIN1m85tp/FKbVDijdFL0dFZRdYFJCl5dXc6vv3ImaWvARJr1XJHToQ/fFRgW&#10;QcGRhpRIxXHjQ586psR0C+tG6zQobf8IEGeMZG8FRxS6XceasuCXYzM7KE/UY2qDSvZOrhu6eiN8&#10;eBJI86YgeTg80lJpaAsOA+KsBvz5t3jMpzHQLmct+afglgzOmf5haTzRaiPAEexGYA/mDsiQs1RL&#10;gnQAgx5hhWBeydireAdtCSvppoKHEd6F3sP0MKRarVISGcqJsLFbJyP1qPRz9yrQDVoHGtIDjL4S&#10;+TvJ+9x40rvVIZDwaR5R1V7DQWwyY5ro8HCi23//T1lvz3v5CwAA//8DAFBLAwQUAAYACAAAACEA&#10;cYt5z9cAAAADAQAADwAAAGRycy9kb3ducmV2LnhtbEyPQU/DMAyF70j8h8hI3FgKkypWmk6AVJB2&#10;2+AHZI3bVDRO1Xhb4ddj4MAufrKe9d7ncj2HQR1xSn0kA7eLDBRSE11PnYH3t/rmHlRiS84OkdDA&#10;JyZYV5cXpS1cPNEWjzvulIRQKqwBzzwWWqfGY7BpEUck8do4BcuyTp12kz1JeBj0XZblOtiepMHb&#10;EZ89Nh+7QzBQdz5vW3rpN/rpq06My9ftZmnM9dX8+ACKceb/Y/jBF3SohGkfD+SSGgzII/w7xctX&#10;K1D7P9VVqc/Zq28AAAD//wMAUEsBAi0AFAAGAAgAAAAhALaDOJL+AAAA4QEAABMAAAAAAAAAAAAA&#10;AAAAAAAAAFtDb250ZW50X1R5cGVzXS54bWxQSwECLQAUAAYACAAAACEAOP0h/9YAAACUAQAACwAA&#10;AAAAAAAAAAAAAAAvAQAAX3JlbHMvLnJlbHNQSwECLQAUAAYACAAAACEACxPxqwwCAAAmBAAADgAA&#10;AAAAAAAAAAAAAAAuAgAAZHJzL2Uyb0RvYy54bWxQSwECLQAUAAYACAAAACEAcYt5z9cAAAADAQAA&#10;DwAAAAAAAAAAAAAAAABmBAAAZHJzL2Rvd25yZXYueG1sUEsFBgAAAAAEAAQA8wAAAGoFAAAAAA==&#10;" filled="f" stroked="f">
              <v:textbox style="mso-fit-shape-to-text:t" inset="0,0,0,0">
                <w:txbxContent>
                  <w:p w14:paraId="11CAB76B" w14:textId="28EB47D5" w:rsidR="00DD1AED" w:rsidRPr="00DD1AED" w:rsidRDefault="00DD1AED">
                    <w:pPr>
                      <w:rPr>
                        <w:rFonts w:ascii="Calibri" w:eastAsia="Calibri" w:hAnsi="Calibri" w:cs="Calibri"/>
                        <w:color w:val="000000"/>
                        <w:sz w:val="20"/>
                        <w:szCs w:val="20"/>
                        <w14:textFill>
                          <w14:solidFill>
                            <w14:srgbClr w14:val="000000">
                              <w14:alpha w14:val="50000"/>
                            </w14:srgbClr>
                          </w14:solidFill>
                        </w14:textFill>
                      </w:rPr>
                    </w:pPr>
                    <w:r w:rsidRPr="00DD1AED">
                      <w:rPr>
                        <w:rFonts w:ascii="Calibri" w:eastAsia="Calibri" w:hAnsi="Calibri" w:cs="Calibri"/>
                        <w:color w:val="000000"/>
                        <w:sz w:val="20"/>
                        <w:szCs w:val="20"/>
                        <w14:textFill>
                          <w14:solidFill>
                            <w14:srgbClr w14:val="000000">
                              <w14:alpha w14:val="50000"/>
                            </w14:srgbClr>
                          </w14:solidFill>
                        </w14:textFill>
                      </w:rPr>
                      <w:t>Official</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169AD"/>
    <w:multiLevelType w:val="hybridMultilevel"/>
    <w:tmpl w:val="D9ECB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93077F"/>
    <w:multiLevelType w:val="hybridMultilevel"/>
    <w:tmpl w:val="9DD47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696E08"/>
    <w:multiLevelType w:val="hybridMultilevel"/>
    <w:tmpl w:val="CFB6F154"/>
    <w:lvl w:ilvl="0" w:tplc="B0C037B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CA40445"/>
    <w:multiLevelType w:val="hybridMultilevel"/>
    <w:tmpl w:val="E5B6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E1F47"/>
    <w:multiLevelType w:val="hybridMultilevel"/>
    <w:tmpl w:val="2F72A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2F86144"/>
    <w:multiLevelType w:val="hybridMultilevel"/>
    <w:tmpl w:val="54F48F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7CB45A7"/>
    <w:multiLevelType w:val="hybridMultilevel"/>
    <w:tmpl w:val="AE02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042C58"/>
    <w:multiLevelType w:val="hybridMultilevel"/>
    <w:tmpl w:val="1CE274A4"/>
    <w:lvl w:ilvl="0" w:tplc="F46463F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3792927"/>
    <w:multiLevelType w:val="hybridMultilevel"/>
    <w:tmpl w:val="03C60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3927674">
    <w:abstractNumId w:val="8"/>
  </w:num>
  <w:num w:numId="2" w16cid:durableId="778643990">
    <w:abstractNumId w:val="6"/>
  </w:num>
  <w:num w:numId="3" w16cid:durableId="1461800513">
    <w:abstractNumId w:val="0"/>
  </w:num>
  <w:num w:numId="4" w16cid:durableId="1230264260">
    <w:abstractNumId w:val="5"/>
  </w:num>
  <w:num w:numId="5" w16cid:durableId="2033527959">
    <w:abstractNumId w:val="1"/>
  </w:num>
  <w:num w:numId="6" w16cid:durableId="582299263">
    <w:abstractNumId w:val="7"/>
  </w:num>
  <w:num w:numId="7" w16cid:durableId="2114937988">
    <w:abstractNumId w:val="4"/>
  </w:num>
  <w:num w:numId="8" w16cid:durableId="506528975">
    <w:abstractNumId w:val="2"/>
  </w:num>
  <w:num w:numId="9" w16cid:durableId="1723628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478"/>
    <w:rsid w:val="00012937"/>
    <w:rsid w:val="000229FC"/>
    <w:rsid w:val="00025EA6"/>
    <w:rsid w:val="00034655"/>
    <w:rsid w:val="00043541"/>
    <w:rsid w:val="0007337C"/>
    <w:rsid w:val="00073CA3"/>
    <w:rsid w:val="00081AD5"/>
    <w:rsid w:val="000848F1"/>
    <w:rsid w:val="000A3914"/>
    <w:rsid w:val="000A75E9"/>
    <w:rsid w:val="000B6550"/>
    <w:rsid w:val="000B7D91"/>
    <w:rsid w:val="000C4073"/>
    <w:rsid w:val="000E6C8C"/>
    <w:rsid w:val="00100F6B"/>
    <w:rsid w:val="0011748D"/>
    <w:rsid w:val="00120EDF"/>
    <w:rsid w:val="00126728"/>
    <w:rsid w:val="00127CFF"/>
    <w:rsid w:val="00132AEB"/>
    <w:rsid w:val="00133E3C"/>
    <w:rsid w:val="00142AC7"/>
    <w:rsid w:val="00145D05"/>
    <w:rsid w:val="001472BD"/>
    <w:rsid w:val="00151BBA"/>
    <w:rsid w:val="00167B46"/>
    <w:rsid w:val="00184240"/>
    <w:rsid w:val="001A6F33"/>
    <w:rsid w:val="001B2D31"/>
    <w:rsid w:val="001B6A66"/>
    <w:rsid w:val="001C0E59"/>
    <w:rsid w:val="001C2C0B"/>
    <w:rsid w:val="001F112A"/>
    <w:rsid w:val="001F2BBA"/>
    <w:rsid w:val="00212414"/>
    <w:rsid w:val="002306F3"/>
    <w:rsid w:val="002336E7"/>
    <w:rsid w:val="00240D20"/>
    <w:rsid w:val="00261B94"/>
    <w:rsid w:val="0027051B"/>
    <w:rsid w:val="00271FCD"/>
    <w:rsid w:val="002736CC"/>
    <w:rsid w:val="00294712"/>
    <w:rsid w:val="00294B07"/>
    <w:rsid w:val="002955D1"/>
    <w:rsid w:val="002E352F"/>
    <w:rsid w:val="0031480A"/>
    <w:rsid w:val="00315130"/>
    <w:rsid w:val="00320827"/>
    <w:rsid w:val="00324C12"/>
    <w:rsid w:val="00330C4D"/>
    <w:rsid w:val="003554C9"/>
    <w:rsid w:val="003638AD"/>
    <w:rsid w:val="00363DEF"/>
    <w:rsid w:val="00367A18"/>
    <w:rsid w:val="003844FF"/>
    <w:rsid w:val="003942A0"/>
    <w:rsid w:val="003A6008"/>
    <w:rsid w:val="003B11BB"/>
    <w:rsid w:val="003B706D"/>
    <w:rsid w:val="003C7043"/>
    <w:rsid w:val="003C76CA"/>
    <w:rsid w:val="003D4A4F"/>
    <w:rsid w:val="003E48A1"/>
    <w:rsid w:val="003F5100"/>
    <w:rsid w:val="00411801"/>
    <w:rsid w:val="0042184D"/>
    <w:rsid w:val="00433257"/>
    <w:rsid w:val="004339F7"/>
    <w:rsid w:val="00443161"/>
    <w:rsid w:val="00444F11"/>
    <w:rsid w:val="00464946"/>
    <w:rsid w:val="00466E65"/>
    <w:rsid w:val="00475A6E"/>
    <w:rsid w:val="00476620"/>
    <w:rsid w:val="00492866"/>
    <w:rsid w:val="004A29F9"/>
    <w:rsid w:val="004A3478"/>
    <w:rsid w:val="004D6B0B"/>
    <w:rsid w:val="004E2071"/>
    <w:rsid w:val="004F2EE2"/>
    <w:rsid w:val="004F751E"/>
    <w:rsid w:val="005010AD"/>
    <w:rsid w:val="00536EC1"/>
    <w:rsid w:val="00537FF3"/>
    <w:rsid w:val="0054146A"/>
    <w:rsid w:val="00545BA9"/>
    <w:rsid w:val="005518F5"/>
    <w:rsid w:val="00553542"/>
    <w:rsid w:val="005563B5"/>
    <w:rsid w:val="005572FE"/>
    <w:rsid w:val="00557DCC"/>
    <w:rsid w:val="00575EB8"/>
    <w:rsid w:val="005A02B7"/>
    <w:rsid w:val="005A3423"/>
    <w:rsid w:val="005A38B0"/>
    <w:rsid w:val="005A39A2"/>
    <w:rsid w:val="005A5F1F"/>
    <w:rsid w:val="005A765A"/>
    <w:rsid w:val="005B1BF4"/>
    <w:rsid w:val="005B3B13"/>
    <w:rsid w:val="005D05BD"/>
    <w:rsid w:val="005D1ACB"/>
    <w:rsid w:val="005F22EA"/>
    <w:rsid w:val="005F7EEE"/>
    <w:rsid w:val="0061556F"/>
    <w:rsid w:val="0063547A"/>
    <w:rsid w:val="00644495"/>
    <w:rsid w:val="00655CB2"/>
    <w:rsid w:val="006661B3"/>
    <w:rsid w:val="00667020"/>
    <w:rsid w:val="006A4AA4"/>
    <w:rsid w:val="006B7EFF"/>
    <w:rsid w:val="006D043C"/>
    <w:rsid w:val="006E34E8"/>
    <w:rsid w:val="00700340"/>
    <w:rsid w:val="00711EEA"/>
    <w:rsid w:val="0072118B"/>
    <w:rsid w:val="00724734"/>
    <w:rsid w:val="00735A37"/>
    <w:rsid w:val="00741238"/>
    <w:rsid w:val="007427DC"/>
    <w:rsid w:val="007856E3"/>
    <w:rsid w:val="007E3798"/>
    <w:rsid w:val="007F6725"/>
    <w:rsid w:val="00800A9F"/>
    <w:rsid w:val="00803C18"/>
    <w:rsid w:val="00810146"/>
    <w:rsid w:val="008174E7"/>
    <w:rsid w:val="00817852"/>
    <w:rsid w:val="008638ED"/>
    <w:rsid w:val="0086416E"/>
    <w:rsid w:val="0087239B"/>
    <w:rsid w:val="008B584B"/>
    <w:rsid w:val="008B65F9"/>
    <w:rsid w:val="008C7382"/>
    <w:rsid w:val="008E373A"/>
    <w:rsid w:val="008F737D"/>
    <w:rsid w:val="00900BEB"/>
    <w:rsid w:val="00903B6E"/>
    <w:rsid w:val="009170E1"/>
    <w:rsid w:val="0092109B"/>
    <w:rsid w:val="00921258"/>
    <w:rsid w:val="00934E05"/>
    <w:rsid w:val="00941D1D"/>
    <w:rsid w:val="009579F5"/>
    <w:rsid w:val="00971017"/>
    <w:rsid w:val="00972F97"/>
    <w:rsid w:val="009771AA"/>
    <w:rsid w:val="009805A4"/>
    <w:rsid w:val="009904BB"/>
    <w:rsid w:val="00996D08"/>
    <w:rsid w:val="009A12DC"/>
    <w:rsid w:val="009E163F"/>
    <w:rsid w:val="009E4970"/>
    <w:rsid w:val="009E4DBD"/>
    <w:rsid w:val="009E5F96"/>
    <w:rsid w:val="009F53F5"/>
    <w:rsid w:val="00A05A23"/>
    <w:rsid w:val="00A252C8"/>
    <w:rsid w:val="00A259A7"/>
    <w:rsid w:val="00A26316"/>
    <w:rsid w:val="00A50141"/>
    <w:rsid w:val="00A50395"/>
    <w:rsid w:val="00A536F9"/>
    <w:rsid w:val="00A541C1"/>
    <w:rsid w:val="00A57244"/>
    <w:rsid w:val="00A61A72"/>
    <w:rsid w:val="00A65BF3"/>
    <w:rsid w:val="00A70145"/>
    <w:rsid w:val="00A7038D"/>
    <w:rsid w:val="00A7642D"/>
    <w:rsid w:val="00A77037"/>
    <w:rsid w:val="00A773BE"/>
    <w:rsid w:val="00A9195F"/>
    <w:rsid w:val="00A9506D"/>
    <w:rsid w:val="00AA632A"/>
    <w:rsid w:val="00AA7A12"/>
    <w:rsid w:val="00AD433D"/>
    <w:rsid w:val="00AE097D"/>
    <w:rsid w:val="00AF0F61"/>
    <w:rsid w:val="00AF56D3"/>
    <w:rsid w:val="00AF701D"/>
    <w:rsid w:val="00B06E6A"/>
    <w:rsid w:val="00B200D5"/>
    <w:rsid w:val="00B22603"/>
    <w:rsid w:val="00B47ADE"/>
    <w:rsid w:val="00B56582"/>
    <w:rsid w:val="00B6483E"/>
    <w:rsid w:val="00B7016F"/>
    <w:rsid w:val="00B71661"/>
    <w:rsid w:val="00B76DCC"/>
    <w:rsid w:val="00BB4C72"/>
    <w:rsid w:val="00BC09FB"/>
    <w:rsid w:val="00BC645C"/>
    <w:rsid w:val="00BE6850"/>
    <w:rsid w:val="00BF3945"/>
    <w:rsid w:val="00C2388E"/>
    <w:rsid w:val="00C31C0E"/>
    <w:rsid w:val="00C9013E"/>
    <w:rsid w:val="00CA7175"/>
    <w:rsid w:val="00CB32D7"/>
    <w:rsid w:val="00CD04FE"/>
    <w:rsid w:val="00CD2429"/>
    <w:rsid w:val="00CE4C8D"/>
    <w:rsid w:val="00CF362A"/>
    <w:rsid w:val="00D00DD8"/>
    <w:rsid w:val="00D15C0C"/>
    <w:rsid w:val="00D16F42"/>
    <w:rsid w:val="00D17A27"/>
    <w:rsid w:val="00D47CC4"/>
    <w:rsid w:val="00D75370"/>
    <w:rsid w:val="00D87D15"/>
    <w:rsid w:val="00D91CD4"/>
    <w:rsid w:val="00D953A1"/>
    <w:rsid w:val="00DC4950"/>
    <w:rsid w:val="00DC6FE6"/>
    <w:rsid w:val="00DD1AED"/>
    <w:rsid w:val="00DD613D"/>
    <w:rsid w:val="00DE405E"/>
    <w:rsid w:val="00DF5E45"/>
    <w:rsid w:val="00E01681"/>
    <w:rsid w:val="00E230F1"/>
    <w:rsid w:val="00E25709"/>
    <w:rsid w:val="00E2651F"/>
    <w:rsid w:val="00E536A0"/>
    <w:rsid w:val="00E6255E"/>
    <w:rsid w:val="00E659E2"/>
    <w:rsid w:val="00E83BA6"/>
    <w:rsid w:val="00E84B3A"/>
    <w:rsid w:val="00E85C9A"/>
    <w:rsid w:val="00EA339B"/>
    <w:rsid w:val="00EB3796"/>
    <w:rsid w:val="00EC5115"/>
    <w:rsid w:val="00EE0A61"/>
    <w:rsid w:val="00F13F0D"/>
    <w:rsid w:val="00F1474B"/>
    <w:rsid w:val="00F213FB"/>
    <w:rsid w:val="00F407C9"/>
    <w:rsid w:val="00F4742E"/>
    <w:rsid w:val="00F57260"/>
    <w:rsid w:val="00F60C72"/>
    <w:rsid w:val="00F6211B"/>
    <w:rsid w:val="00F925F8"/>
    <w:rsid w:val="00FB267C"/>
    <w:rsid w:val="00FD74E9"/>
    <w:rsid w:val="00FE4003"/>
    <w:rsid w:val="00FE5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075F7"/>
  <w15:docId w15:val="{33E676BB-13BC-46D0-8608-9A93C1E2C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47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A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A61"/>
    <w:rPr>
      <w:rFonts w:ascii="Segoe UI" w:hAnsi="Segoe UI" w:cs="Segoe UI"/>
      <w:sz w:val="18"/>
      <w:szCs w:val="18"/>
    </w:rPr>
  </w:style>
  <w:style w:type="paragraph" w:styleId="Header">
    <w:name w:val="header"/>
    <w:basedOn w:val="Normal"/>
    <w:link w:val="HeaderChar"/>
    <w:uiPriority w:val="99"/>
    <w:unhideWhenUsed/>
    <w:rsid w:val="006E34E8"/>
    <w:pPr>
      <w:tabs>
        <w:tab w:val="center" w:pos="4513"/>
        <w:tab w:val="right" w:pos="9026"/>
      </w:tabs>
    </w:pPr>
  </w:style>
  <w:style w:type="character" w:customStyle="1" w:styleId="HeaderChar">
    <w:name w:val="Header Char"/>
    <w:basedOn w:val="DefaultParagraphFont"/>
    <w:link w:val="Header"/>
    <w:uiPriority w:val="99"/>
    <w:rsid w:val="006E34E8"/>
  </w:style>
  <w:style w:type="paragraph" w:styleId="Footer">
    <w:name w:val="footer"/>
    <w:basedOn w:val="Normal"/>
    <w:link w:val="FooterChar"/>
    <w:uiPriority w:val="99"/>
    <w:unhideWhenUsed/>
    <w:rsid w:val="006E34E8"/>
    <w:pPr>
      <w:tabs>
        <w:tab w:val="center" w:pos="4513"/>
        <w:tab w:val="right" w:pos="9026"/>
      </w:tabs>
    </w:pPr>
  </w:style>
  <w:style w:type="character" w:customStyle="1" w:styleId="FooterChar">
    <w:name w:val="Footer Char"/>
    <w:basedOn w:val="DefaultParagraphFont"/>
    <w:link w:val="Footer"/>
    <w:uiPriority w:val="99"/>
    <w:rsid w:val="006E34E8"/>
  </w:style>
  <w:style w:type="paragraph" w:styleId="ListParagraph">
    <w:name w:val="List Paragraph"/>
    <w:basedOn w:val="Normal"/>
    <w:uiPriority w:val="34"/>
    <w:qFormat/>
    <w:rsid w:val="007856E3"/>
    <w:pPr>
      <w:ind w:left="720"/>
      <w:contextualSpacing/>
    </w:pPr>
  </w:style>
  <w:style w:type="table" w:styleId="TableGridLight">
    <w:name w:val="Grid Table Light"/>
    <w:basedOn w:val="TableNormal"/>
    <w:uiPriority w:val="40"/>
    <w:rsid w:val="005D1A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7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070E1-CA82-453D-ABAC-1F09CAD6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NWRC</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Alan.Admin</dc:creator>
  <cp:lastModifiedBy>Hamilton, Fiona</cp:lastModifiedBy>
  <cp:revision>4</cp:revision>
  <cp:lastPrinted>2022-01-05T09:30:00Z</cp:lastPrinted>
  <dcterms:created xsi:type="dcterms:W3CDTF">2022-11-10T16:43:00Z</dcterms:created>
  <dcterms:modified xsi:type="dcterms:W3CDTF">2023-01-09T16:01:00Z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#ffff00,10,Calibri</vt:lpwstr>
  </property>
  <property fmtid="{D5CDD505-2E9C-101B-9397-08002B2CF9AE}" pid="4" name="ClassificationContentMarkingFooterText">
    <vt:lpwstr>Please treat this information as Official</vt:lpwstr>
  </property>
  <property fmtid="{D5CDD505-2E9C-101B-9397-08002B2CF9AE}" pid="5" name="ClassificationWatermarkShapeIds">
    <vt:lpwstr>4,5,6</vt:lpwstr>
  </property>
  <property fmtid="{D5CDD505-2E9C-101B-9397-08002B2CF9AE}" pid="6" name="ClassificationWatermarkFontProps">
    <vt:lpwstr>#000000,10,Calibri</vt:lpwstr>
  </property>
  <property fmtid="{D5CDD505-2E9C-101B-9397-08002B2CF9AE}" pid="7" name="ClassificationWatermarkText">
    <vt:lpwstr>Official</vt:lpwstr>
  </property>
  <property fmtid="{D5CDD505-2E9C-101B-9397-08002B2CF9AE}" pid="8" name="MSIP_Label_b40b5f3c-9b1b-4f7d-9339-6974d1767da9_Enabled">
    <vt:lpwstr>true</vt:lpwstr>
  </property>
  <property fmtid="{D5CDD505-2E9C-101B-9397-08002B2CF9AE}" pid="9" name="MSIP_Label_b40b5f3c-9b1b-4f7d-9339-6974d1767da9_SetDate">
    <vt:lpwstr>2021-09-03T14:38:24Z</vt:lpwstr>
  </property>
  <property fmtid="{D5CDD505-2E9C-101B-9397-08002B2CF9AE}" pid="10" name="MSIP_Label_b40b5f3c-9b1b-4f7d-9339-6974d1767da9_Method">
    <vt:lpwstr>Privileged</vt:lpwstr>
  </property>
  <property fmtid="{D5CDD505-2E9C-101B-9397-08002B2CF9AE}" pid="11" name="MSIP_Label_b40b5f3c-9b1b-4f7d-9339-6974d1767da9_Name">
    <vt:lpwstr>Official</vt:lpwstr>
  </property>
  <property fmtid="{D5CDD505-2E9C-101B-9397-08002B2CF9AE}" pid="12" name="MSIP_Label_b40b5f3c-9b1b-4f7d-9339-6974d1767da9_SiteId">
    <vt:lpwstr>2c282a6f-a0fc-4596-9ccc-2378f1b4cf1e</vt:lpwstr>
  </property>
  <property fmtid="{D5CDD505-2E9C-101B-9397-08002B2CF9AE}" pid="13" name="MSIP_Label_b40b5f3c-9b1b-4f7d-9339-6974d1767da9_ActionId">
    <vt:lpwstr>aeea930d-c613-41e7-afd2-5ceb870fce98</vt:lpwstr>
  </property>
  <property fmtid="{D5CDD505-2E9C-101B-9397-08002B2CF9AE}" pid="14" name="MSIP_Label_b40b5f3c-9b1b-4f7d-9339-6974d1767da9_ContentBits">
    <vt:lpwstr>6</vt:lpwstr>
  </property>
</Properties>
</file>